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8CB" w:rsidRDefault="002B38CB" w:rsidP="005335E3">
      <w:pPr>
        <w:spacing w:after="0"/>
        <w:rPr>
          <w:rFonts w:cs="Times New Roman"/>
          <w:shd w:val="clear" w:color="auto" w:fill="FFFFFF"/>
        </w:rPr>
      </w:pPr>
    </w:p>
    <w:p w:rsidR="002B38CB" w:rsidRDefault="002B38CB" w:rsidP="005335E3">
      <w:pPr>
        <w:spacing w:after="0"/>
        <w:rPr>
          <w:rFonts w:cs="Times New Roman"/>
          <w:shd w:val="clear" w:color="auto" w:fill="FFFFFF"/>
        </w:rPr>
      </w:pPr>
    </w:p>
    <w:p w:rsidR="002B38CB" w:rsidRDefault="002B38CB" w:rsidP="005335E3">
      <w:pPr>
        <w:spacing w:after="0"/>
        <w:rPr>
          <w:rFonts w:cs="Times New Roman"/>
          <w:shd w:val="clear" w:color="auto" w:fill="FFFFFF"/>
        </w:rPr>
      </w:pPr>
    </w:p>
    <w:p w:rsidR="002B38CB" w:rsidRDefault="002B38CB" w:rsidP="005335E3">
      <w:pPr>
        <w:spacing w:after="0"/>
        <w:rPr>
          <w:rFonts w:cs="Times New Roman"/>
          <w:shd w:val="clear" w:color="auto" w:fill="FFFFFF"/>
        </w:rPr>
      </w:pPr>
    </w:p>
    <w:p w:rsidR="005335E3" w:rsidRDefault="005335E3" w:rsidP="005335E3">
      <w:pPr>
        <w:spacing w:after="0"/>
        <w:rPr>
          <w:rFonts w:cs="Times New Roman"/>
          <w:shd w:val="clear" w:color="auto" w:fill="FFFFFF"/>
        </w:rPr>
      </w:pPr>
      <w:bookmarkStart w:id="0" w:name="_GoBack"/>
      <w:bookmarkEnd w:id="0"/>
    </w:p>
    <w:p w:rsidR="002B38CB" w:rsidRDefault="002B38CB" w:rsidP="005335E3">
      <w:pPr>
        <w:spacing w:after="0"/>
        <w:rPr>
          <w:rFonts w:cs="Times New Roman"/>
          <w:shd w:val="clear" w:color="auto" w:fill="FFFFFF"/>
        </w:rPr>
      </w:pPr>
    </w:p>
    <w:p w:rsidR="002B38CB" w:rsidRDefault="002B38CB" w:rsidP="005335E3">
      <w:pPr>
        <w:spacing w:after="0"/>
        <w:rPr>
          <w:rFonts w:cs="Times New Roman"/>
          <w:shd w:val="clear" w:color="auto" w:fill="FFFFFF"/>
        </w:rPr>
      </w:pPr>
    </w:p>
    <w:p w:rsidR="002B38CB" w:rsidRDefault="002B38CB" w:rsidP="005335E3">
      <w:pPr>
        <w:spacing w:after="0"/>
        <w:rPr>
          <w:rFonts w:cs="Times New Roman"/>
          <w:shd w:val="clear" w:color="auto" w:fill="FFFFFF"/>
        </w:rPr>
      </w:pPr>
    </w:p>
    <w:p w:rsidR="002B38CB" w:rsidRDefault="002B38CB" w:rsidP="005335E3">
      <w:pPr>
        <w:spacing w:after="0"/>
        <w:jc w:val="center"/>
        <w:rPr>
          <w:rFonts w:cs="Times New Roman"/>
          <w:shd w:val="clear" w:color="auto" w:fill="FFFFFF"/>
        </w:rPr>
      </w:pPr>
      <w:r>
        <w:rPr>
          <w:rFonts w:cs="Times New Roman"/>
          <w:shd w:val="clear" w:color="auto" w:fill="FFFFFF"/>
        </w:rPr>
        <w:t>Federalism in the Court Systems</w:t>
      </w:r>
    </w:p>
    <w:p w:rsidR="002B38CB" w:rsidRDefault="002B38CB" w:rsidP="005335E3">
      <w:pPr>
        <w:spacing w:after="0"/>
        <w:jc w:val="center"/>
        <w:rPr>
          <w:rFonts w:cs="Times New Roman"/>
          <w:shd w:val="clear" w:color="auto" w:fill="FFFFFF"/>
        </w:rPr>
      </w:pPr>
      <w:r>
        <w:rPr>
          <w:rFonts w:cs="Times New Roman"/>
          <w:shd w:val="clear" w:color="auto" w:fill="FFFFFF"/>
        </w:rPr>
        <w:t>Name of Student</w:t>
      </w:r>
    </w:p>
    <w:p w:rsidR="002B38CB" w:rsidRDefault="002B38CB" w:rsidP="005335E3">
      <w:pPr>
        <w:spacing w:after="0"/>
        <w:jc w:val="center"/>
        <w:rPr>
          <w:rFonts w:cs="Times New Roman"/>
          <w:shd w:val="clear" w:color="auto" w:fill="FFFFFF"/>
        </w:rPr>
      </w:pPr>
      <w:r>
        <w:rPr>
          <w:rFonts w:cs="Times New Roman"/>
          <w:shd w:val="clear" w:color="auto" w:fill="FFFFFF"/>
        </w:rPr>
        <w:t>Name of Institution</w:t>
      </w:r>
    </w:p>
    <w:p w:rsidR="002B38CB" w:rsidRDefault="002B38CB" w:rsidP="005335E3">
      <w:pPr>
        <w:spacing w:after="0"/>
        <w:jc w:val="center"/>
        <w:rPr>
          <w:rFonts w:cs="Times New Roman"/>
          <w:shd w:val="clear" w:color="auto" w:fill="FFFFFF"/>
        </w:rPr>
      </w:pPr>
      <w:r>
        <w:rPr>
          <w:rFonts w:cs="Times New Roman"/>
          <w:shd w:val="clear" w:color="auto" w:fill="FFFFFF"/>
        </w:rPr>
        <w:t>Date</w:t>
      </w:r>
      <w:r>
        <w:rPr>
          <w:rFonts w:cs="Times New Roman"/>
          <w:shd w:val="clear" w:color="auto" w:fill="FFFFFF"/>
        </w:rPr>
        <w:br w:type="page"/>
      </w:r>
    </w:p>
    <w:p w:rsidR="005335E3" w:rsidRDefault="005335E3" w:rsidP="005335E3">
      <w:pPr>
        <w:spacing w:after="0"/>
        <w:jc w:val="center"/>
        <w:rPr>
          <w:rFonts w:cs="Times New Roman"/>
          <w:shd w:val="clear" w:color="auto" w:fill="FFFFFF"/>
        </w:rPr>
      </w:pPr>
      <w:r>
        <w:rPr>
          <w:rFonts w:cs="Times New Roman"/>
          <w:shd w:val="clear" w:color="auto" w:fill="FFFFFF"/>
        </w:rPr>
        <w:lastRenderedPageBreak/>
        <w:t>Federalism in the Court Systems</w:t>
      </w:r>
    </w:p>
    <w:p w:rsidR="009804DF" w:rsidRDefault="009804DF" w:rsidP="005335E3">
      <w:pPr>
        <w:spacing w:after="0"/>
        <w:ind w:firstLine="720"/>
        <w:jc w:val="both"/>
        <w:rPr>
          <w:rFonts w:cs="Times New Roman"/>
          <w:shd w:val="clear" w:color="auto" w:fill="FFFFFF"/>
        </w:rPr>
      </w:pPr>
      <w:r>
        <w:rPr>
          <w:rFonts w:cs="Times New Roman"/>
          <w:shd w:val="clear" w:color="auto" w:fill="FFFFFF"/>
        </w:rPr>
        <w:t xml:space="preserve">A dual court system refers to the structure of the judiciary to employ two independent court systems to operate concurrently, one at the local and the other at the national level. </w:t>
      </w:r>
      <w:r w:rsidR="007577DF" w:rsidRPr="009804DF">
        <w:rPr>
          <w:rFonts w:cs="Times New Roman"/>
          <w:shd w:val="clear" w:color="auto" w:fill="FFFFFF"/>
        </w:rPr>
        <w:t xml:space="preserve">The </w:t>
      </w:r>
      <w:r>
        <w:rPr>
          <w:rFonts w:cs="Times New Roman"/>
          <w:shd w:val="clear" w:color="auto" w:fill="FFFFFF"/>
        </w:rPr>
        <w:t xml:space="preserve">federal and the state courts both have similar subdivisions with the Supreme Court merging the two at the top. The appellate and trial courts at both levels provide a variety of means to hold judicial hearings, but serves as a double edged sword with the system also creating a bias in a case to case scenario. </w:t>
      </w:r>
    </w:p>
    <w:p w:rsidR="009804DF" w:rsidRDefault="007C36DD" w:rsidP="005335E3">
      <w:pPr>
        <w:spacing w:after="0"/>
        <w:ind w:firstLine="720"/>
        <w:jc w:val="both"/>
        <w:rPr>
          <w:rFonts w:cs="Times New Roman"/>
          <w:shd w:val="clear" w:color="auto" w:fill="FFFFFF"/>
        </w:rPr>
      </w:pPr>
      <w:r>
        <w:rPr>
          <w:rFonts w:cs="Times New Roman"/>
          <w:shd w:val="clear" w:color="auto" w:fill="FFFFFF"/>
        </w:rPr>
        <w:t xml:space="preserve">The federal court jurisdiction is limited, and it covers cases with aspects federal law that was passed in Congress, and to interpret and apply the U.S. constitution. The same jurisdiction cover cases whose impact have a national or global impact, and as such is most suited to deal with foreign matters. The state courts are responsible for 90% of the cases heard in the United States. The system takes on cases whose jurisdiction is not defined under federal law, termed as general jurisdiction. It is the principal system for violation of local and state laws. The structure of the state courts allow for individualization of codes making each different on the basis of cultures, politics and law. </w:t>
      </w:r>
    </w:p>
    <w:p w:rsidR="007C36DD" w:rsidRDefault="007C36DD" w:rsidP="005335E3">
      <w:pPr>
        <w:spacing w:after="0"/>
        <w:ind w:firstLine="720"/>
        <w:jc w:val="both"/>
        <w:rPr>
          <w:rFonts w:cs="Times New Roman"/>
          <w:shd w:val="clear" w:color="auto" w:fill="FFFFFF"/>
        </w:rPr>
      </w:pPr>
      <w:r>
        <w:rPr>
          <w:rFonts w:cs="Times New Roman"/>
          <w:shd w:val="clear" w:color="auto" w:fill="FFFFFF"/>
        </w:rPr>
        <w:t xml:space="preserve">The federal question cases involves matters fundamental to the U.S. constitution, U.S. government and other federal laws. They encompass crimes that violate federal law, civic cases based on federal laws, those spanning interstate concerning commerce and criminal activity, </w:t>
      </w:r>
      <w:r w:rsidR="00C2744F">
        <w:rPr>
          <w:rFonts w:cs="Times New Roman"/>
          <w:shd w:val="clear" w:color="auto" w:fill="FFFFFF"/>
        </w:rPr>
        <w:t xml:space="preserve">controversy cases between the Constitution and other federal laws, cases where the government is party, state controversies and those that involve foreign governments. </w:t>
      </w:r>
      <w:r w:rsidR="003924DD">
        <w:rPr>
          <w:rFonts w:cs="Times New Roman"/>
          <w:shd w:val="clear" w:color="auto" w:fill="FFFFFF"/>
        </w:rPr>
        <w:t>A state case begins at filing s</w:t>
      </w:r>
      <w:r w:rsidR="00E05834">
        <w:rPr>
          <w:rFonts w:cs="Times New Roman"/>
          <w:shd w:val="clear" w:color="auto" w:fill="FFFFFF"/>
        </w:rPr>
        <w:t>ummons and complaint, through t</w:t>
      </w:r>
      <w:r w:rsidR="003924DD">
        <w:rPr>
          <w:rFonts w:cs="Times New Roman"/>
          <w:shd w:val="clear" w:color="auto" w:fill="FFFFFF"/>
        </w:rPr>
        <w:t xml:space="preserve">o </w:t>
      </w:r>
      <w:r w:rsidR="00E05834">
        <w:rPr>
          <w:rFonts w:cs="Times New Roman"/>
          <w:shd w:val="clear" w:color="auto" w:fill="FFFFFF"/>
        </w:rPr>
        <w:t xml:space="preserve">service of the same which demands a reply from the defendant. A summary motion is the next step, where amended complaint may be filed after and the court will issue Scheduling Order. Discovery follows with pretrial conference and trials </w:t>
      </w:r>
      <w:r w:rsidR="00E05834">
        <w:rPr>
          <w:rFonts w:cs="Times New Roman"/>
          <w:shd w:val="clear" w:color="auto" w:fill="FFFFFF"/>
        </w:rPr>
        <w:lastRenderedPageBreak/>
        <w:t xml:space="preserve">promptly following. A default judgement given ends the proceedings with satisfaction. For a federal case, the complaint is followed with consent or refusal to use magistrate judge. Defendant files answer then follows mandatory disclosures, then a Scheduling Order prompts discovery. Expert witnesses provide testimony followed by a summary judgement motion, with a pretrial report. The last step is the trial, unless one opts for appeal. </w:t>
      </w:r>
    </w:p>
    <w:p w:rsidR="007577DF" w:rsidRDefault="00E05834" w:rsidP="005335E3">
      <w:pPr>
        <w:spacing w:after="0"/>
        <w:ind w:firstLine="720"/>
        <w:jc w:val="both"/>
        <w:rPr>
          <w:rFonts w:cs="Times New Roman"/>
          <w:shd w:val="clear" w:color="auto" w:fill="FFFFFF"/>
        </w:rPr>
      </w:pPr>
      <w:r>
        <w:rPr>
          <w:rFonts w:cs="Times New Roman"/>
          <w:shd w:val="clear" w:color="auto" w:fill="FFFFFF"/>
        </w:rPr>
        <w:t xml:space="preserve">The diversity of both systems </w:t>
      </w:r>
      <w:r w:rsidR="002B38CB">
        <w:rPr>
          <w:rFonts w:cs="Times New Roman"/>
          <w:shd w:val="clear" w:color="auto" w:fill="FFFFFF"/>
        </w:rPr>
        <w:t>affects</w:t>
      </w:r>
      <w:r>
        <w:rPr>
          <w:rFonts w:cs="Times New Roman"/>
          <w:shd w:val="clear" w:color="auto" w:fill="FFFFFF"/>
        </w:rPr>
        <w:t xml:space="preserve"> the citizens on a case by case system dependent on their location and the nature of the civil case. The systems are also defined by their predefined codes. </w:t>
      </w:r>
    </w:p>
    <w:p w:rsidR="002B38CB" w:rsidRDefault="002B38CB" w:rsidP="005335E3">
      <w:pPr>
        <w:spacing w:after="0"/>
        <w:rPr>
          <w:rFonts w:cs="Times New Roman"/>
          <w:shd w:val="clear" w:color="auto" w:fill="FFFFFF"/>
        </w:rPr>
      </w:pPr>
      <w:r>
        <w:rPr>
          <w:rFonts w:cs="Times New Roman"/>
          <w:shd w:val="clear" w:color="auto" w:fill="FFFFFF"/>
        </w:rPr>
        <w:br w:type="page"/>
      </w:r>
    </w:p>
    <w:sdt>
      <w:sdtPr>
        <w:rPr>
          <w:rFonts w:ascii="Times New Roman" w:eastAsiaTheme="minorHAnsi" w:hAnsi="Times New Roman" w:cstheme="minorBidi"/>
          <w:b w:val="0"/>
          <w:bCs w:val="0"/>
          <w:color w:val="auto"/>
          <w:sz w:val="24"/>
          <w:szCs w:val="22"/>
          <w:lang w:eastAsia="en-US"/>
        </w:rPr>
        <w:id w:val="-533499386"/>
        <w:docPartObj>
          <w:docPartGallery w:val="Bibliographies"/>
          <w:docPartUnique/>
        </w:docPartObj>
      </w:sdtPr>
      <w:sdtEndPr/>
      <w:sdtContent>
        <w:p w:rsidR="002B38CB" w:rsidRPr="002B38CB" w:rsidRDefault="002B38CB" w:rsidP="005335E3">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2B38CB" w:rsidRDefault="002B38CB" w:rsidP="005335E3">
              <w:pPr>
                <w:pStyle w:val="Bibliography"/>
                <w:spacing w:after="0"/>
                <w:ind w:left="720" w:hanging="720"/>
                <w:rPr>
                  <w:noProof/>
                </w:rPr>
              </w:pPr>
              <w:r>
                <w:fldChar w:fldCharType="begin"/>
              </w:r>
              <w:r>
                <w:instrText xml:space="preserve"> BIBLIOGRAPHY </w:instrText>
              </w:r>
              <w:r>
                <w:fldChar w:fldCharType="separate"/>
              </w:r>
              <w:r>
                <w:rPr>
                  <w:noProof/>
                </w:rPr>
                <w:t xml:space="preserve">Hamilton, E. J. (2013). Federalism and the State Civil Jury Rights. . </w:t>
              </w:r>
              <w:r>
                <w:rPr>
                  <w:i/>
                  <w:iCs/>
                  <w:noProof/>
                </w:rPr>
                <w:t>Stan. L. Rev., 65</w:t>
              </w:r>
              <w:r>
                <w:rPr>
                  <w:noProof/>
                </w:rPr>
                <w:t>, 851.</w:t>
              </w:r>
            </w:p>
            <w:p w:rsidR="002B38CB" w:rsidRDefault="002B38CB" w:rsidP="005335E3">
              <w:pPr>
                <w:pStyle w:val="Bibliography"/>
                <w:spacing w:after="0"/>
                <w:ind w:left="720" w:hanging="720"/>
                <w:rPr>
                  <w:noProof/>
                </w:rPr>
              </w:pPr>
              <w:r>
                <w:rPr>
                  <w:noProof/>
                </w:rPr>
                <w:t xml:space="preserve">Solimine, M. E., &amp; Elvey, K. (2014). Federalism, Federal Courts, and Victims' Rights. </w:t>
              </w:r>
              <w:r>
                <w:rPr>
                  <w:i/>
                  <w:iCs/>
                  <w:noProof/>
                </w:rPr>
                <w:t>Cath. UL Rev, 64</w:t>
              </w:r>
              <w:r>
                <w:rPr>
                  <w:noProof/>
                </w:rPr>
                <w:t>, 909.</w:t>
              </w:r>
            </w:p>
            <w:p w:rsidR="002B38CB" w:rsidRDefault="002B38CB" w:rsidP="005335E3">
              <w:pPr>
                <w:spacing w:after="0"/>
              </w:pPr>
              <w:r>
                <w:rPr>
                  <w:b/>
                  <w:bCs/>
                  <w:noProof/>
                </w:rPr>
                <w:fldChar w:fldCharType="end"/>
              </w:r>
            </w:p>
          </w:sdtContent>
        </w:sdt>
      </w:sdtContent>
    </w:sdt>
    <w:p w:rsidR="002B38CB" w:rsidRPr="009804DF" w:rsidRDefault="002B38CB" w:rsidP="005335E3">
      <w:pPr>
        <w:spacing w:after="0"/>
        <w:ind w:firstLine="720"/>
        <w:rPr>
          <w:rFonts w:cs="Times New Roman"/>
          <w:shd w:val="clear" w:color="auto" w:fill="FFFFFF"/>
        </w:rPr>
      </w:pPr>
    </w:p>
    <w:sectPr w:rsidR="002B38CB" w:rsidRPr="009804DF" w:rsidSect="00E05834">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235E" w:rsidRDefault="0025235E" w:rsidP="00E05834">
      <w:pPr>
        <w:spacing w:after="0" w:line="240" w:lineRule="auto"/>
      </w:pPr>
      <w:r>
        <w:separator/>
      </w:r>
    </w:p>
  </w:endnote>
  <w:endnote w:type="continuationSeparator" w:id="0">
    <w:p w:rsidR="0025235E" w:rsidRDefault="0025235E" w:rsidP="00E05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235E" w:rsidRDefault="0025235E" w:rsidP="00E05834">
      <w:pPr>
        <w:spacing w:after="0" w:line="240" w:lineRule="auto"/>
      </w:pPr>
      <w:r>
        <w:separator/>
      </w:r>
    </w:p>
  </w:footnote>
  <w:footnote w:type="continuationSeparator" w:id="0">
    <w:p w:rsidR="0025235E" w:rsidRDefault="0025235E" w:rsidP="00E058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834" w:rsidRDefault="00E05834">
    <w:pPr>
      <w:pStyle w:val="Header"/>
      <w:jc w:val="right"/>
    </w:pPr>
    <w:r>
      <w:t xml:space="preserve">DUAL COURT SYSTEM </w:t>
    </w:r>
    <w:r>
      <w:tab/>
    </w:r>
    <w:r>
      <w:tab/>
    </w:r>
    <w:sdt>
      <w:sdtPr>
        <w:id w:val="12961089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43FF">
          <w:rPr>
            <w:noProof/>
          </w:rPr>
          <w:t>4</w:t>
        </w:r>
        <w:r>
          <w:rPr>
            <w:noProof/>
          </w:rPr>
          <w:fldChar w:fldCharType="end"/>
        </w:r>
      </w:sdtContent>
    </w:sdt>
  </w:p>
  <w:p w:rsidR="00E05834" w:rsidRDefault="00E058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834" w:rsidRDefault="00E05834">
    <w:pPr>
      <w:pStyle w:val="Header"/>
      <w:jc w:val="right"/>
    </w:pPr>
    <w:r>
      <w:t xml:space="preserve">Running Head: DUAL COURT SYSTEM </w:t>
    </w:r>
    <w:r>
      <w:tab/>
    </w:r>
    <w:r>
      <w:tab/>
    </w:r>
    <w:sdt>
      <w:sdtPr>
        <w:id w:val="1365374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35E3">
          <w:rPr>
            <w:noProof/>
          </w:rPr>
          <w:t>1</w:t>
        </w:r>
        <w:r>
          <w:rPr>
            <w:noProof/>
          </w:rPr>
          <w:fldChar w:fldCharType="end"/>
        </w:r>
      </w:sdtContent>
    </w:sdt>
  </w:p>
  <w:p w:rsidR="00E05834" w:rsidRDefault="00E05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115"/>
    <w:rsid w:val="00037115"/>
    <w:rsid w:val="000E43FF"/>
    <w:rsid w:val="0025235E"/>
    <w:rsid w:val="002B38CB"/>
    <w:rsid w:val="003924DD"/>
    <w:rsid w:val="00513C96"/>
    <w:rsid w:val="005335E3"/>
    <w:rsid w:val="006E6D27"/>
    <w:rsid w:val="007577DF"/>
    <w:rsid w:val="007C36DD"/>
    <w:rsid w:val="00814F8F"/>
    <w:rsid w:val="009245F0"/>
    <w:rsid w:val="009804DF"/>
    <w:rsid w:val="00C2744F"/>
    <w:rsid w:val="00E05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617F57-2AA6-4E64-BC13-F0EF26365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38C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834"/>
  </w:style>
  <w:style w:type="paragraph" w:styleId="Footer">
    <w:name w:val="footer"/>
    <w:basedOn w:val="Normal"/>
    <w:link w:val="FooterChar"/>
    <w:uiPriority w:val="99"/>
    <w:unhideWhenUsed/>
    <w:rsid w:val="00E05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834"/>
  </w:style>
  <w:style w:type="paragraph" w:styleId="BalloonText">
    <w:name w:val="Balloon Text"/>
    <w:basedOn w:val="Normal"/>
    <w:link w:val="BalloonTextChar"/>
    <w:uiPriority w:val="99"/>
    <w:semiHidden/>
    <w:unhideWhenUsed/>
    <w:rsid w:val="002B38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8CB"/>
    <w:rPr>
      <w:rFonts w:ascii="Tahoma" w:hAnsi="Tahoma" w:cs="Tahoma"/>
      <w:sz w:val="16"/>
      <w:szCs w:val="16"/>
    </w:rPr>
  </w:style>
  <w:style w:type="character" w:customStyle="1" w:styleId="Heading1Char">
    <w:name w:val="Heading 1 Char"/>
    <w:basedOn w:val="DefaultParagraphFont"/>
    <w:link w:val="Heading1"/>
    <w:uiPriority w:val="9"/>
    <w:rsid w:val="002B38C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B3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Ham13</b:Tag>
    <b:SourceType>JournalArticle</b:SourceType>
    <b:Guid>{602C9610-B937-4767-80EC-44E296EDEA4E}</b:Guid>
    <b:Title>Federalism and the State Civil Jury Rights. </b:Title>
    <b:Year>2013</b:Year>
    <b:JournalName>Stan. L. Rev.</b:JournalName>
    <b:Pages>851</b:Pages>
    <b:Author>
      <b:Author>
        <b:NameList>
          <b:Person>
            <b:Last>Hamilton</b:Last>
            <b:Middle>J.</b:Middle>
            <b:First>Eric</b:First>
          </b:Person>
        </b:NameList>
      </b:Author>
    </b:Author>
    <b:Volume>65</b:Volume>
    <b:RefOrder>1</b:RefOrder>
  </b:Source>
  <b:Source>
    <b:Tag>Sol14</b:Tag>
    <b:SourceType>JournalArticle</b:SourceType>
    <b:Guid>{A6A0D7E9-AD15-43D5-9543-20FBF674FA8F}</b:Guid>
    <b:Title>Federalism, Federal Courts, and Victims' Rights.</b:Title>
    <b:JournalName>Cath. UL Rev</b:JournalName>
    <b:Year>2014</b:Year>
    <b:Pages>909</b:Pages>
    <b:Author>
      <b:Author>
        <b:NameList>
          <b:Person>
            <b:Last>Solimine</b:Last>
            <b:Middle>E.</b:Middle>
            <b:First>Micheal</b:First>
          </b:Person>
          <b:Person>
            <b:Last>Elvey</b:Last>
            <b:First>Kathryn</b:First>
          </b:Person>
        </b:NameList>
      </b:Author>
    </b:Author>
    <b:Volume>64</b:Volume>
    <b:RefOrder>2</b:RefOrder>
  </b:Source>
</b:Sources>
</file>

<file path=customXml/itemProps1.xml><?xml version="1.0" encoding="utf-8"?>
<ds:datastoreItem xmlns:ds="http://schemas.openxmlformats.org/officeDocument/2006/customXml" ds:itemID="{57FB6691-9BEF-4D3B-BD7E-0475FC338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2019-04-27T20:46:00Z</dcterms:created>
  <dcterms:modified xsi:type="dcterms:W3CDTF">2019-04-27T20:46:00Z</dcterms:modified>
</cp:coreProperties>
</file>